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3"/>
        <w:ind w:firstLine="284"/>
        <w:jc w:val="righ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10</w:t>
      </w:r>
      <w:r>
        <w:rPr>
          <w:sz w:val="22"/>
          <w:szCs w:val="22"/>
        </w:rPr>
        <w:t xml:space="preserve"> к Договору подряда</w:t>
      </w:r>
      <w:bookmarkStart w:id="0" w:name="_GoBack"/>
      <w:r/>
      <w:bookmarkEnd w:id="0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03"/>
        <w:ind w:firstLine="284"/>
        <w:jc w:val="righ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№_______________ </w:t>
      </w:r>
      <w:r>
        <w:rPr>
          <w:sz w:val="22"/>
          <w:szCs w:val="22"/>
        </w:rPr>
        <w:t xml:space="preserve">от «____» ____________20__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03"/>
        <w:ind w:firstLine="284"/>
        <w:jc w:val="both"/>
      </w:pPr>
      <w:r>
        <w:t xml:space="preserve"> </w:t>
      </w:r>
      <w:r/>
    </w:p>
    <w:p>
      <w:pPr>
        <w:pStyle w:val="1003"/>
        <w:ind w:firstLine="284"/>
        <w:jc w:val="both"/>
      </w:pPr>
      <w:r>
        <w:t xml:space="preserve">                                                               </w:t>
      </w:r>
      <w:r/>
    </w:p>
    <w:p>
      <w:pPr>
        <w:pStyle w:val="1003"/>
        <w:ind w:firstLine="284"/>
        <w:jc w:val="center"/>
        <w:rPr>
          <w:b/>
        </w:rPr>
      </w:pPr>
      <w:r>
        <w:rPr>
          <w:b/>
        </w:rPr>
        <w:t xml:space="preserve">Перечень исполнительной документации </w:t>
      </w:r>
      <w:r>
        <w:rPr>
          <w:b/>
        </w:rPr>
      </w:r>
      <w:r>
        <w:rPr>
          <w:b/>
        </w:rPr>
      </w:r>
    </w:p>
    <w:p>
      <w:pPr>
        <w:pStyle w:val="1003"/>
        <w:ind w:firstLine="284"/>
        <w:jc w:val="center"/>
        <w:spacing w:line="276" w:lineRule="auto"/>
      </w:pPr>
      <w:r>
        <w:t xml:space="preserve"> предоставляемой Подрядчиком при оформлении Актов КС-2 по объекту</w:t>
      </w:r>
      <w:r>
        <w:rPr>
          <w:b/>
        </w:rPr>
        <w:t xml:space="preserve"> </w:t>
      </w:r>
      <w:r>
        <w:rPr>
          <w:b/>
          <w:bCs/>
        </w:rPr>
        <w:t xml:space="preserve">«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О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КПД 2 43.99.90 Выполнение строительно-монтажных работ (включая поставку материалов и оборудования) по техперевооружению комплекса инженерно-технических средств физической защиты СП Комсомольская ТЭЦ-3, водогрейная котельная Дземги в рамках инвестиционного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проекта F_505-ХГ-25, г. Комсомольск-на Амуре</w:t>
      </w:r>
      <w:r>
        <w:rPr>
          <w:b/>
          <w:bCs/>
        </w:rPr>
        <w:t xml:space="preserve">»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/>
    </w:p>
    <w:p>
      <w:pPr>
        <w:pStyle w:val="1003"/>
        <w:ind w:firstLine="284"/>
        <w:jc w:val="center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1003"/>
        <w:ind w:firstLine="284"/>
        <w:jc w:val="center"/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1003"/>
        <w:ind w:firstLine="567"/>
        <w:spacing w:line="240" w:lineRule="auto"/>
        <w:rPr>
          <w:b/>
          <w:bCs/>
          <w:highlight w:val="none"/>
        </w:rPr>
      </w:pPr>
      <w:r>
        <w:rPr>
          <w:b/>
          <w:bCs/>
          <w:highlight w:val="none"/>
        </w:rPr>
        <w:t xml:space="preserve">Общие документы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Приказ о назначении руководителей производства строительно-монтажных работ подрядной организации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Приказ о назначении ответственных лиц за производство работ на объекте и осуществление строительного контроля подрядной организац</w:t>
      </w:r>
      <w:r>
        <w:rPr>
          <w:sz w:val="24"/>
          <w:szCs w:val="24"/>
          <w:highlight w:val="none"/>
        </w:rPr>
        <w:t xml:space="preserve">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Перечень организаций и ответственных лиц субподрядных организаций, участвующих в строительстве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Проект производства работ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Копии удостоверений электротехнического персонала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Реестр исполнительной документации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6"/>
        </w:num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Ведомость изме</w:t>
      </w:r>
      <w:r>
        <w:rPr>
          <w:sz w:val="24"/>
          <w:szCs w:val="24"/>
          <w:highlight w:val="none"/>
        </w:rPr>
        <w:t xml:space="preserve">нений и отступлений от проекта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04"/>
        <w:numPr>
          <w:ilvl w:val="0"/>
          <w:numId w:val="6"/>
        </w:numPr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Паспорта и сертификаты качества на изделия и материалы, примененные при монтаже, комплект заводской документации на монтируемое электрооборудование и оборудование пожарной сигнализации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1004"/>
        <w:numPr>
          <w:ilvl w:val="0"/>
          <w:numId w:val="6"/>
        </w:numPr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Счета-фактуры на изделия, материалы и оборудование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1004"/>
        <w:numPr>
          <w:ilvl w:val="0"/>
          <w:numId w:val="6"/>
        </w:numPr>
        <w:jc w:val="both"/>
        <w:spacing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Акт приемки комиссией законченного строительством объекта капитального строительства (формируется Заказчиком, подписывается Исполнителем и Заказчиком).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spacing w:after="200" w:line="240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contextualSpacing/>
        <w:jc w:val="both"/>
        <w:spacing w:before="0" w:after="0" w:line="240" w:lineRule="auto"/>
        <w:rPr>
          <w:b/>
          <w:bCs/>
          <w:sz w:val="24"/>
          <w:szCs w:val="24"/>
          <w:highlight w:val="none"/>
        </w:rPr>
        <w:suppressLineNumbers w:val="0"/>
      </w:pPr>
      <w:r>
        <w:rPr>
          <w:b/>
          <w:bCs/>
          <w:sz w:val="24"/>
          <w:szCs w:val="24"/>
          <w:highlight w:val="none"/>
        </w:rPr>
        <w:t xml:space="preserve">Перечень журналов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1002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highlight w:val="none"/>
        </w:rPr>
        <w:t xml:space="preserve">Общий </w:t>
      </w:r>
      <w:r>
        <w:rPr>
          <w:b w:val="0"/>
          <w:bCs w:val="0"/>
          <w:sz w:val="24"/>
          <w:szCs w:val="24"/>
          <w:highlight w:val="none"/>
        </w:rPr>
        <w:t xml:space="preserve">журнал работ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Журнал авторского надзора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Журнал сварочных работ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Журнал антикоррозийной защиты сварных соединений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Журнал бетонных работ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Журнал прокладки кабелей</w:t>
      </w:r>
      <w:r>
        <w:rPr>
          <w:b w:val="0"/>
          <w:bCs w:val="0"/>
          <w:sz w:val="24"/>
          <w:szCs w:val="24"/>
          <w:highlight w:val="none"/>
        </w:rPr>
        <w:t xml:space="preserve">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44"/>
        </w:numPr>
        <w:contextualSpacing/>
        <w:ind w:left="850" w:right="0" w:hanging="283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Журнал и комиссионные акты входного контроля качества материалов и обо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ru-RU"/>
        </w:rPr>
        <w:t xml:space="preserve">рудования,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закупаемых Подрядчиком (в произвольной форме), на соответствие продукции требованиям технической документации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/>
          <w:bCs/>
          <w:sz w:val="24"/>
          <w:szCs w:val="24"/>
          <w:highlight w:val="none"/>
        </w:rPr>
        <w:suppressLineNumbers w:val="0"/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sz w:val="24"/>
          <w:szCs w:val="24"/>
          <w:highlight w:val="none"/>
          <w:lang w:eastAsia="en-US"/>
        </w:rPr>
        <w:t xml:space="preserve">Исполнительная документация на строительно-монтажные работы в здании Центральной проходной</w:t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pStyle w:val="1002"/>
        <w:numPr>
          <w:ilvl w:val="0"/>
          <w:numId w:val="68"/>
        </w:num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 w:val="0"/>
          <w:bCs w:val="0"/>
          <w:sz w:val="24"/>
          <w:szCs w:val="24"/>
          <w:highlight w:val="none"/>
        </w:rPr>
        <w:suppressLineNumbers w:val="0"/>
      </w:pP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Акт выполненных работ по установке окон ПВХ с подоконными досками и отливами.</w:t>
      </w:r>
      <w:r>
        <w:rPr>
          <w:rFonts w:eastAsia="Calibri"/>
          <w:b w:val="0"/>
          <w:bCs w:val="0"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</w:r>
    </w:p>
    <w:p>
      <w:p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/>
          <w:bCs/>
          <w:sz w:val="24"/>
          <w:szCs w:val="24"/>
          <w:highlight w:val="none"/>
        </w:rPr>
        <w:suppressLineNumbers w:val="0"/>
      </w:pPr>
      <w:r>
        <w:rPr>
          <w:rFonts w:eastAsia="Calibri"/>
          <w:b/>
          <w:sz w:val="24"/>
          <w:szCs w:val="24"/>
          <w:highlight w:val="none"/>
          <w:lang w:eastAsia="en-US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/>
          <w:bCs/>
          <w:sz w:val="24"/>
          <w:szCs w:val="24"/>
          <w:highlight w:val="none"/>
        </w:rPr>
        <w:suppressLineNumbers w:val="0"/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sz w:val="24"/>
          <w:szCs w:val="24"/>
          <w:highlight w:val="none"/>
          <w:lang w:eastAsia="en-US"/>
        </w:rPr>
        <w:t xml:space="preserve">Исполнительная документация на строительно-монтажные работы в здании Проходной № 4</w:t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pStyle w:val="1002"/>
        <w:numPr>
          <w:ilvl w:val="0"/>
          <w:numId w:val="72"/>
        </w:num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 w:val="0"/>
          <w:bCs w:val="0"/>
          <w:sz w:val="24"/>
          <w:szCs w:val="24"/>
          <w:highlight w:val="none"/>
        </w:rPr>
        <w:suppressLineNumbers w:val="0"/>
      </w:pP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Акт выполненных работ по устройству скатной кровли.</w:t>
      </w:r>
      <w:r>
        <w:rPr>
          <w:rFonts w:eastAsia="Calibri"/>
          <w:b w:val="0"/>
          <w:bCs w:val="0"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72"/>
        </w:num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 w:val="0"/>
          <w:bCs w:val="0"/>
          <w:sz w:val="24"/>
          <w:szCs w:val="24"/>
          <w:highlight w:val="none"/>
        </w:rPr>
        <w:suppressLineNumbers w:val="0"/>
      </w:pP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Акт выполненных работ по установке окон ПВХ с подоконными досками и отливами.</w:t>
      </w:r>
      <w:r>
        <w:rPr>
          <w:rFonts w:eastAsia="Calibri"/>
          <w:b w:val="0"/>
          <w:bCs w:val="0"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72"/>
        </w:num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 w:val="0"/>
          <w:bCs w:val="0"/>
          <w:sz w:val="24"/>
          <w:szCs w:val="24"/>
          <w:highlight w:val="none"/>
        </w:rPr>
        <w:suppressLineNumbers w:val="0"/>
      </w:pP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Акт выполненных работ по установке металлических дверных блоков.</w:t>
      </w:r>
      <w:r>
        <w:rPr>
          <w:rFonts w:eastAsia="Calibri"/>
          <w:b w:val="0"/>
          <w:bCs w:val="0"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72"/>
        </w:num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 w:val="0"/>
          <w:bCs w:val="0"/>
          <w:sz w:val="24"/>
          <w:szCs w:val="24"/>
          <w:highlight w:val="none"/>
        </w:rPr>
        <w:suppressLineNumbers w:val="0"/>
      </w:pP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Акт сдачи-приемки отделочных работ.</w:t>
      </w:r>
      <w:r>
        <w:rPr>
          <w:rFonts w:eastAsia="Calibri"/>
          <w:b w:val="0"/>
          <w:bCs w:val="0"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</w:r>
    </w:p>
    <w:p>
      <w:p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/>
          <w:bCs/>
          <w:sz w:val="24"/>
          <w:szCs w:val="24"/>
          <w:highlight w:val="none"/>
        </w:rPr>
        <w:suppressLineNumbers w:val="0"/>
      </w:pPr>
      <w:r>
        <w:rPr>
          <w:rFonts w:eastAsia="Calibri"/>
          <w:b/>
          <w:sz w:val="24"/>
          <w:szCs w:val="24"/>
          <w:highlight w:val="none"/>
          <w:lang w:eastAsia="en-US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/>
          <w:bCs/>
          <w:sz w:val="24"/>
          <w:szCs w:val="24"/>
          <w:highlight w:val="none"/>
        </w:rPr>
        <w:suppressLineNumbers w:val="0"/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sz w:val="24"/>
          <w:szCs w:val="24"/>
          <w:highlight w:val="none"/>
          <w:lang w:eastAsia="en-US"/>
        </w:rPr>
        <w:t xml:space="preserve">Исполнительная документация на монтаж системы кондиционирования</w:t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pStyle w:val="1002"/>
        <w:numPr>
          <w:ilvl w:val="0"/>
          <w:numId w:val="65"/>
        </w:num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 w:val="0"/>
          <w:bCs w:val="0"/>
          <w:sz w:val="24"/>
          <w:szCs w:val="24"/>
          <w:highlight w:val="none"/>
        </w:rPr>
        <w:suppressLineNumbers w:val="0"/>
      </w:pP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Акт 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приемки системы кондиционирования.</w:t>
      </w:r>
      <w:r>
        <w:rPr>
          <w:rFonts w:eastAsia="Calibri"/>
          <w:b w:val="0"/>
          <w:bCs w:val="0"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</w:r>
    </w:p>
    <w:p>
      <w:p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/>
          <w:bCs/>
          <w:sz w:val="24"/>
          <w:szCs w:val="24"/>
          <w:highlight w:val="none"/>
        </w:rPr>
        <w:suppressLineNumbers w:val="0"/>
      </w:pPr>
      <w:r>
        <w:rPr>
          <w:rFonts w:eastAsia="Calibri"/>
          <w:b/>
          <w:sz w:val="24"/>
          <w:szCs w:val="24"/>
          <w:highlight w:val="none"/>
          <w:lang w:eastAsia="en-US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/>
          <w:bCs/>
          <w:sz w:val="24"/>
          <w:szCs w:val="24"/>
          <w:highlight w:val="none"/>
        </w:rPr>
        <w:suppressLineNumbers w:val="0"/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sz w:val="24"/>
          <w:szCs w:val="24"/>
          <w:highlight w:val="none"/>
          <w:lang w:eastAsia="en-US"/>
        </w:rPr>
        <w:t xml:space="preserve">Исполнительная документация на пусконаладку </w:t>
      </w:r>
      <w:r>
        <w:rPr>
          <w:rFonts w:eastAsia="Calibri"/>
          <w:b/>
          <w:sz w:val="24"/>
          <w:szCs w:val="24"/>
          <w:highlight w:val="none"/>
          <w:lang w:eastAsia="en-US"/>
        </w:rPr>
        <w:t xml:space="preserve">комплекса радиооборудования</w:t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pStyle w:val="1002"/>
        <w:numPr>
          <w:ilvl w:val="0"/>
          <w:numId w:val="64"/>
        </w:num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 w:val="0"/>
          <w:bCs w:val="0"/>
          <w:sz w:val="24"/>
          <w:szCs w:val="24"/>
          <w:highlight w:val="none"/>
        </w:rPr>
        <w:suppressLineNumbers w:val="0"/>
      </w:pP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Акт 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сдачи-приемки пусконаладочных работ по настройке комплекса радиооборудования «Волновая сеть».</w:t>
      </w:r>
      <w:r>
        <w:rPr>
          <w:rFonts w:eastAsia="Calibri"/>
          <w:b w:val="0"/>
          <w:bCs w:val="0"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64"/>
        </w:num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 w:val="0"/>
          <w:bCs w:val="0"/>
          <w:color w:val="000000" w:themeColor="text1"/>
          <w:sz w:val="24"/>
          <w:szCs w:val="24"/>
          <w:highlight w:val="none"/>
        </w:rPr>
        <w:suppressLineNumbers w:val="0"/>
      </w:pPr>
      <w:r>
        <w:rPr>
          <w:rFonts w:eastAsia="Calibri"/>
          <w:b w:val="0"/>
          <w:bCs w:val="0"/>
          <w:color w:val="000000" w:themeColor="text1"/>
          <w:sz w:val="24"/>
          <w:szCs w:val="24"/>
          <w:highlight w:val="none"/>
        </w:rPr>
        <w:t xml:space="preserve">Протокол испытаний</w:t>
      </w:r>
      <w:r>
        <w:rPr>
          <w:rFonts w:eastAsia="Calibri"/>
          <w:b w:val="0"/>
          <w:bCs w:val="0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eastAsia="Calibri"/>
          <w:b w:val="0"/>
          <w:bCs w:val="0"/>
          <w:color w:val="000000" w:themeColor="text1"/>
          <w:sz w:val="24"/>
          <w:szCs w:val="24"/>
          <w:highlight w:val="none"/>
          <w:lang w:eastAsia="en-US"/>
        </w:rPr>
        <w:t xml:space="preserve">комплекса радиооборудования «Волновая сеть».</w:t>
      </w:r>
      <w:r>
        <w:rPr>
          <w:rFonts w:eastAsia="Calibri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eastAsia="Calibri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/>
          <w:bCs/>
          <w:color w:val="000000" w:themeColor="text1"/>
          <w:sz w:val="24"/>
          <w:szCs w:val="24"/>
          <w:highlight w:val="none"/>
        </w:rPr>
        <w:suppressLineNumbers w:val="0"/>
      </w:pPr>
      <w:r>
        <w:rPr>
          <w:rFonts w:eastAsia="Calibri"/>
          <w:b/>
          <w:color w:val="000000" w:themeColor="text1"/>
          <w:sz w:val="24"/>
          <w:szCs w:val="24"/>
          <w:highlight w:val="none"/>
          <w:lang w:eastAsia="en-US"/>
        </w:rPr>
      </w:r>
      <w:r>
        <w:rPr>
          <w:rFonts w:eastAsia="Calibri"/>
          <w:b/>
          <w:bCs/>
          <w:color w:val="000000" w:themeColor="text1"/>
          <w:sz w:val="24"/>
          <w:szCs w:val="24"/>
          <w:highlight w:val="none"/>
        </w:rPr>
      </w:r>
      <w:r>
        <w:rPr>
          <w:rFonts w:eastAsia="Calibri"/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805"/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/>
          <w:bCs/>
          <w:sz w:val="24"/>
          <w:szCs w:val="24"/>
          <w:highlight w:val="none"/>
        </w:rPr>
        <w:suppressLineNumbers w:val="0"/>
      </w:pPr>
      <w:r>
        <w:rPr>
          <w:rFonts w:eastAsia="Calibri"/>
          <w:b/>
          <w:sz w:val="24"/>
          <w:szCs w:val="24"/>
          <w:highlight w:val="none"/>
          <w:lang w:eastAsia="en-US"/>
        </w:rPr>
        <w:t xml:space="preserve">Исполнительная документация на монтаж опор</w:t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pStyle w:val="1002"/>
        <w:numPr>
          <w:ilvl w:val="0"/>
          <w:numId w:val="62"/>
        </w:numPr>
        <w:contextualSpacing/>
        <w:ind w:left="0" w:right="0" w:firstLine="567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Акт на приемку свайного основания;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62"/>
        </w:numPr>
        <w:contextualSpacing/>
        <w:ind w:left="0" w:right="0" w:firstLine="567"/>
        <w:jc w:val="both"/>
        <w:spacing w:before="0" w:after="0" w:line="240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Акт на бурение лидерных скважин;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62"/>
        </w:numPr>
        <w:contextualSpacing/>
        <w:ind w:left="0" w:right="0" w:firstLine="567"/>
        <w:jc w:val="both"/>
        <w:spacing w:before="0" w:after="0" w:line="240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Акт на задавливание свай;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62"/>
        </w:numPr>
        <w:contextualSpacing/>
        <w:ind w:left="0" w:right="0" w:firstLine="567"/>
        <w:jc w:val="both"/>
        <w:spacing w:before="0" w:after="0" w:line="240" w:lineRule="auto"/>
        <w:rPr>
          <w:b w:val="0"/>
          <w:bCs w:val="0"/>
          <w:sz w:val="24"/>
          <w:szCs w:val="24"/>
          <w:highlight w:val="none"/>
        </w:rPr>
        <w:suppressLineNumbers w:val="0"/>
      </w:pPr>
      <w:r>
        <w:rPr>
          <w:b w:val="0"/>
          <w:bCs w:val="0"/>
          <w:sz w:val="24"/>
          <w:szCs w:val="24"/>
          <w:highlight w:val="none"/>
        </w:rPr>
        <w:t xml:space="preserve">Акт приемки свай (осмотр до погружения);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002"/>
        <w:numPr>
          <w:ilvl w:val="0"/>
          <w:numId w:val="62"/>
        </w:numPr>
        <w:contextualSpacing/>
        <w:ind w:left="0" w:right="0" w:firstLine="567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Акт на испытание свай.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805"/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/>
          <w:bCs/>
          <w:sz w:val="24"/>
          <w:szCs w:val="24"/>
          <w:highlight w:val="none"/>
        </w:rPr>
        <w:suppressLineNumbers w:val="0"/>
      </w:pPr>
      <w:r>
        <w:rPr>
          <w:rFonts w:eastAsia="Calibri"/>
          <w:b/>
          <w:sz w:val="24"/>
          <w:szCs w:val="24"/>
          <w:highlight w:val="none"/>
          <w:lang w:eastAsia="en-US"/>
        </w:rPr>
        <w:t xml:space="preserve">Исполнительная документация на монтаж предупреждающих знаков</w:t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contextualSpacing/>
        <w:ind w:left="0" w:right="0" w:firstLine="567"/>
        <w:spacing w:after="200"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1.Акт на установку предупреждающих знаков.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805"/>
        <w:contextualSpacing w:val="0"/>
        <w:ind w:left="0" w:right="0" w:firstLine="567"/>
        <w:jc w:val="left"/>
        <w:spacing w:line="240" w:lineRule="auto"/>
        <w:widowControl/>
        <w:rPr>
          <w:rFonts w:eastAsia="Calibri"/>
          <w:b/>
          <w:sz w:val="24"/>
          <w:szCs w:val="24"/>
          <w:highlight w:val="none"/>
        </w:rPr>
        <w:suppressLineNumbers w:val="0"/>
      </w:pPr>
      <w:r>
        <w:rPr>
          <w:rFonts w:eastAsia="Calibri"/>
          <w:b/>
          <w:sz w:val="24"/>
          <w:szCs w:val="24"/>
          <w:highlight w:val="none"/>
          <w:lang w:eastAsia="en-US"/>
        </w:rPr>
        <w:t xml:space="preserve">Исполнительная документация на монтаж системы </w:t>
      </w:r>
      <w:r>
        <w:rPr>
          <w:rFonts w:eastAsia="Calibri"/>
          <w:b/>
          <w:sz w:val="24"/>
          <w:szCs w:val="24"/>
          <w:highlight w:val="none"/>
          <w:lang w:eastAsia="en-US"/>
        </w:rPr>
        <w:t xml:space="preserve">охранного освещения</w:t>
      </w:r>
      <w:r>
        <w:rPr>
          <w:rFonts w:eastAsia="Calibri"/>
          <w:b/>
          <w:sz w:val="24"/>
          <w:szCs w:val="24"/>
          <w:highlight w:val="none"/>
        </w:rPr>
      </w:r>
      <w:r>
        <w:rPr>
          <w:rFonts w:eastAsia="Calibri"/>
          <w:b/>
          <w:sz w:val="24"/>
          <w:szCs w:val="24"/>
          <w:highlight w:val="none"/>
        </w:rPr>
      </w:r>
    </w:p>
    <w:p>
      <w:pPr>
        <w:pStyle w:val="805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Протокол осмотра и проверки сопротивления изоляции кабелей на барабане перед прокладкой.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5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Исполнительные схемы на прокладку кабельных трасс с указанием протяженности участков.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5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Протокол испытания силового кабеля напряжением до 1 кВ.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5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Протоколы измерения сопротивления металлической связи электрооборудования с заземляющим контуром.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5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Протоколы измерения сопротивления изоляции кабелей.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5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Исполнительные схемы на монтаж электротехнического оборудования</w:t>
      </w:r>
      <w:r>
        <w:rPr>
          <w:rFonts w:eastAsia="Calibri"/>
          <w:sz w:val="24"/>
          <w:szCs w:val="24"/>
          <w:highlight w:val="none"/>
          <w:lang w:eastAsia="en-US"/>
        </w:rPr>
        <w:t xml:space="preserve">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5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Акты технической готовности электромонтажных работ.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5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Акты технической готовности смонтированного оборудования.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5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Ведомости смонтированного электрооборудования.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5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Акт осмотра электропроводки кабелей перед закрытием.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805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color w:val="auto"/>
          <w:sz w:val="24"/>
          <w:szCs w:val="24"/>
          <w:highlight w:val="none"/>
        </w:rPr>
      </w:pPr>
      <w:r>
        <w:rPr>
          <w:rFonts w:eastAsia="Calibri"/>
          <w:color w:val="auto"/>
          <w:sz w:val="24"/>
          <w:szCs w:val="24"/>
          <w:highlight w:val="none"/>
          <w:lang w:eastAsia="en-US"/>
        </w:rPr>
        <w:t xml:space="preserve">Акт приемки систем</w:t>
      </w:r>
      <w:r>
        <w:rPr>
          <w:rFonts w:eastAsia="Calibri"/>
          <w:color w:val="auto"/>
          <w:sz w:val="24"/>
          <w:szCs w:val="24"/>
          <w:highlight w:val="none"/>
          <w:lang w:eastAsia="en-US"/>
        </w:rPr>
        <w:t xml:space="preserve">ы</w:t>
      </w:r>
      <w:r>
        <w:rPr>
          <w:rFonts w:eastAsia="Calibri"/>
          <w:color w:val="auto"/>
          <w:sz w:val="24"/>
          <w:szCs w:val="24"/>
          <w:highlight w:val="none"/>
          <w:lang w:eastAsia="en-US"/>
        </w:rPr>
        <w:t xml:space="preserve"> охранного освещения</w:t>
      </w:r>
      <w:r>
        <w:rPr>
          <w:rFonts w:eastAsia="Calibri"/>
          <w:color w:val="auto"/>
          <w:sz w:val="24"/>
          <w:szCs w:val="24"/>
          <w:highlight w:val="none"/>
          <w:lang w:eastAsia="en-US"/>
        </w:rPr>
        <w:t xml:space="preserve">.</w:t>
      </w:r>
      <w:r>
        <w:rPr>
          <w:rFonts w:eastAsia="Calibri"/>
          <w:color w:val="auto"/>
          <w:sz w:val="24"/>
          <w:szCs w:val="24"/>
          <w:highlight w:val="none"/>
        </w:rPr>
      </w:r>
      <w:r>
        <w:rPr>
          <w:rFonts w:eastAsia="Calibri"/>
          <w:color w:val="auto"/>
          <w:sz w:val="24"/>
          <w:szCs w:val="24"/>
          <w:highlight w:val="none"/>
        </w:rPr>
      </w:r>
    </w:p>
    <w:p>
      <w:pPr>
        <w:pStyle w:val="805"/>
        <w:numPr>
          <w:ilvl w:val="0"/>
          <w:numId w:val="63"/>
        </w:numPr>
        <w:contextualSpacing/>
        <w:ind w:right="0"/>
        <w:jc w:val="both"/>
        <w:spacing w:after="200" w:line="240" w:lineRule="auto"/>
        <w:widowControl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Ведомость технической документации.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contextualSpacing/>
        <w:ind w:right="0"/>
        <w:spacing w:after="200" w:line="276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contextualSpacing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928"/>
        <w:gridCol w:w="4990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/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 / 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 _________</w:t>
            </w:r>
            <w:r>
              <w:rPr>
                <w:sz w:val="24"/>
                <w:szCs w:val="24"/>
              </w:rPr>
              <w:t xml:space="preserve">__20__г.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9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___________________/__________________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«_____»_______________20__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contextualSpacing/>
        <w:ind w:firstLine="0"/>
        <w:spacing w:after="200" w:line="276" w:lineRule="auto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5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06">
    <w:name w:val="Heading 1"/>
    <w:basedOn w:val="805"/>
    <w:next w:val="805"/>
    <w:link w:val="8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07">
    <w:name w:val="Heading 2"/>
    <w:basedOn w:val="805"/>
    <w:next w:val="805"/>
    <w:link w:val="83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08">
    <w:name w:val="Heading 3"/>
    <w:basedOn w:val="805"/>
    <w:next w:val="805"/>
    <w:link w:val="8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09">
    <w:name w:val="Heading 4"/>
    <w:basedOn w:val="805"/>
    <w:next w:val="805"/>
    <w:link w:val="83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0">
    <w:name w:val="Heading 5"/>
    <w:basedOn w:val="805"/>
    <w:next w:val="805"/>
    <w:link w:val="83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1">
    <w:name w:val="Heading 6"/>
    <w:basedOn w:val="805"/>
    <w:next w:val="805"/>
    <w:link w:val="8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805"/>
    <w:next w:val="805"/>
    <w:link w:val="84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3">
    <w:name w:val="Heading 8"/>
    <w:basedOn w:val="805"/>
    <w:next w:val="805"/>
    <w:link w:val="84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14">
    <w:name w:val="Heading 9"/>
    <w:basedOn w:val="805"/>
    <w:next w:val="805"/>
    <w:link w:val="84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5" w:default="1">
    <w:name w:val="Default Paragraph Font"/>
    <w:uiPriority w:val="1"/>
    <w:semiHidden/>
    <w:unhideWhenUsed/>
  </w:style>
  <w:style w:type="table" w:styleId="8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  <w:style w:type="character" w:styleId="818" w:customStyle="1">
    <w:name w:val="Heading 1 Char"/>
    <w:basedOn w:val="815"/>
    <w:uiPriority w:val="9"/>
    <w:rPr>
      <w:rFonts w:ascii="Arial" w:hAnsi="Arial" w:eastAsia="Arial" w:cs="Arial"/>
      <w:sz w:val="40"/>
      <w:szCs w:val="40"/>
    </w:rPr>
  </w:style>
  <w:style w:type="character" w:styleId="819" w:customStyle="1">
    <w:name w:val="Heading 2 Char"/>
    <w:basedOn w:val="815"/>
    <w:uiPriority w:val="9"/>
    <w:rPr>
      <w:rFonts w:ascii="Arial" w:hAnsi="Arial" w:eastAsia="Arial" w:cs="Arial"/>
      <w:sz w:val="34"/>
    </w:rPr>
  </w:style>
  <w:style w:type="character" w:styleId="820" w:customStyle="1">
    <w:name w:val="Heading 3 Char"/>
    <w:basedOn w:val="815"/>
    <w:uiPriority w:val="9"/>
    <w:rPr>
      <w:rFonts w:ascii="Arial" w:hAnsi="Arial" w:eastAsia="Arial" w:cs="Arial"/>
      <w:sz w:val="30"/>
      <w:szCs w:val="30"/>
    </w:rPr>
  </w:style>
  <w:style w:type="character" w:styleId="821" w:customStyle="1">
    <w:name w:val="Heading 4 Char"/>
    <w:basedOn w:val="815"/>
    <w:uiPriority w:val="9"/>
    <w:rPr>
      <w:rFonts w:ascii="Arial" w:hAnsi="Arial" w:eastAsia="Arial" w:cs="Arial"/>
      <w:b/>
      <w:bCs/>
      <w:sz w:val="26"/>
      <w:szCs w:val="26"/>
    </w:rPr>
  </w:style>
  <w:style w:type="character" w:styleId="822" w:customStyle="1">
    <w:name w:val="Heading 5 Char"/>
    <w:basedOn w:val="815"/>
    <w:uiPriority w:val="9"/>
    <w:rPr>
      <w:rFonts w:ascii="Arial" w:hAnsi="Arial" w:eastAsia="Arial" w:cs="Arial"/>
      <w:b/>
      <w:bCs/>
      <w:sz w:val="24"/>
      <w:szCs w:val="24"/>
    </w:rPr>
  </w:style>
  <w:style w:type="character" w:styleId="823" w:customStyle="1">
    <w:name w:val="Heading 6 Char"/>
    <w:basedOn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824" w:customStyle="1">
    <w:name w:val="Heading 7 Char"/>
    <w:basedOn w:val="8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5" w:customStyle="1">
    <w:name w:val="Heading 8 Char"/>
    <w:basedOn w:val="815"/>
    <w:uiPriority w:val="9"/>
    <w:rPr>
      <w:rFonts w:ascii="Arial" w:hAnsi="Arial" w:eastAsia="Arial" w:cs="Arial"/>
      <w:i/>
      <w:iCs/>
      <w:sz w:val="22"/>
      <w:szCs w:val="22"/>
    </w:rPr>
  </w:style>
  <w:style w:type="character" w:styleId="826" w:customStyle="1">
    <w:name w:val="Heading 9 Char"/>
    <w:basedOn w:val="815"/>
    <w:uiPriority w:val="9"/>
    <w:rPr>
      <w:rFonts w:ascii="Arial" w:hAnsi="Arial" w:eastAsia="Arial" w:cs="Arial"/>
      <w:i/>
      <w:iCs/>
      <w:sz w:val="21"/>
      <w:szCs w:val="21"/>
    </w:rPr>
  </w:style>
  <w:style w:type="character" w:styleId="827" w:customStyle="1">
    <w:name w:val="Title Char"/>
    <w:basedOn w:val="815"/>
    <w:uiPriority w:val="10"/>
    <w:rPr>
      <w:sz w:val="48"/>
      <w:szCs w:val="48"/>
    </w:rPr>
  </w:style>
  <w:style w:type="character" w:styleId="828" w:customStyle="1">
    <w:name w:val="Subtitle Char"/>
    <w:basedOn w:val="815"/>
    <w:uiPriority w:val="11"/>
    <w:rPr>
      <w:sz w:val="24"/>
      <w:szCs w:val="24"/>
    </w:rPr>
  </w:style>
  <w:style w:type="character" w:styleId="829" w:customStyle="1">
    <w:name w:val="Quote Char"/>
    <w:uiPriority w:val="29"/>
    <w:rPr>
      <w:i/>
    </w:rPr>
  </w:style>
  <w:style w:type="character" w:styleId="830" w:customStyle="1">
    <w:name w:val="Intense Quote Char"/>
    <w:uiPriority w:val="30"/>
    <w:rPr>
      <w:i/>
    </w:rPr>
  </w:style>
  <w:style w:type="character" w:styleId="831" w:customStyle="1">
    <w:name w:val="Header Char"/>
    <w:basedOn w:val="815"/>
    <w:uiPriority w:val="99"/>
  </w:style>
  <w:style w:type="character" w:styleId="832" w:customStyle="1">
    <w:name w:val="Caption Char"/>
    <w:uiPriority w:val="99"/>
  </w:style>
  <w:style w:type="character" w:styleId="833" w:customStyle="1">
    <w:name w:val="Footnote Text Char"/>
    <w:uiPriority w:val="99"/>
    <w:rPr>
      <w:sz w:val="18"/>
    </w:rPr>
  </w:style>
  <w:style w:type="character" w:styleId="834" w:customStyle="1">
    <w:name w:val="Endnote Text Char"/>
    <w:uiPriority w:val="99"/>
    <w:rPr>
      <w:sz w:val="20"/>
    </w:rPr>
  </w:style>
  <w:style w:type="character" w:styleId="835" w:customStyle="1">
    <w:name w:val="Заголовок 1 Знак"/>
    <w:basedOn w:val="815"/>
    <w:link w:val="806"/>
    <w:uiPriority w:val="9"/>
    <w:rPr>
      <w:rFonts w:ascii="Arial" w:hAnsi="Arial" w:eastAsia="Arial" w:cs="Arial"/>
      <w:sz w:val="40"/>
      <w:szCs w:val="40"/>
    </w:rPr>
  </w:style>
  <w:style w:type="character" w:styleId="836" w:customStyle="1">
    <w:name w:val="Заголовок 2 Знак"/>
    <w:basedOn w:val="815"/>
    <w:link w:val="807"/>
    <w:uiPriority w:val="9"/>
    <w:rPr>
      <w:rFonts w:ascii="Arial" w:hAnsi="Arial" w:eastAsia="Arial" w:cs="Arial"/>
      <w:sz w:val="34"/>
    </w:rPr>
  </w:style>
  <w:style w:type="character" w:styleId="837" w:customStyle="1">
    <w:name w:val="Заголовок 3 Знак"/>
    <w:basedOn w:val="815"/>
    <w:link w:val="808"/>
    <w:uiPriority w:val="9"/>
    <w:rPr>
      <w:rFonts w:ascii="Arial" w:hAnsi="Arial" w:eastAsia="Arial" w:cs="Arial"/>
      <w:sz w:val="30"/>
      <w:szCs w:val="30"/>
    </w:rPr>
  </w:style>
  <w:style w:type="character" w:styleId="838" w:customStyle="1">
    <w:name w:val="Заголовок 4 Знак"/>
    <w:basedOn w:val="815"/>
    <w:link w:val="809"/>
    <w:uiPriority w:val="9"/>
    <w:rPr>
      <w:rFonts w:ascii="Arial" w:hAnsi="Arial" w:eastAsia="Arial" w:cs="Arial"/>
      <w:b/>
      <w:bCs/>
      <w:sz w:val="26"/>
      <w:szCs w:val="26"/>
    </w:rPr>
  </w:style>
  <w:style w:type="character" w:styleId="839" w:customStyle="1">
    <w:name w:val="Заголовок 5 Знак"/>
    <w:basedOn w:val="815"/>
    <w:link w:val="810"/>
    <w:uiPriority w:val="9"/>
    <w:rPr>
      <w:rFonts w:ascii="Arial" w:hAnsi="Arial" w:eastAsia="Arial" w:cs="Arial"/>
      <w:b/>
      <w:bCs/>
      <w:sz w:val="24"/>
      <w:szCs w:val="24"/>
    </w:rPr>
  </w:style>
  <w:style w:type="character" w:styleId="840" w:customStyle="1">
    <w:name w:val="Заголовок 6 Знак"/>
    <w:basedOn w:val="815"/>
    <w:link w:val="811"/>
    <w:uiPriority w:val="9"/>
    <w:rPr>
      <w:rFonts w:ascii="Arial" w:hAnsi="Arial" w:eastAsia="Arial" w:cs="Arial"/>
      <w:b/>
      <w:bCs/>
      <w:sz w:val="22"/>
      <w:szCs w:val="22"/>
    </w:rPr>
  </w:style>
  <w:style w:type="character" w:styleId="841" w:customStyle="1">
    <w:name w:val="Заголовок 7 Знак"/>
    <w:basedOn w:val="815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2" w:customStyle="1">
    <w:name w:val="Заголовок 8 Знак"/>
    <w:basedOn w:val="815"/>
    <w:link w:val="813"/>
    <w:uiPriority w:val="9"/>
    <w:rPr>
      <w:rFonts w:ascii="Arial" w:hAnsi="Arial" w:eastAsia="Arial" w:cs="Arial"/>
      <w:i/>
      <w:iCs/>
      <w:sz w:val="22"/>
      <w:szCs w:val="22"/>
    </w:rPr>
  </w:style>
  <w:style w:type="character" w:styleId="843" w:customStyle="1">
    <w:name w:val="Заголовок 9 Знак"/>
    <w:basedOn w:val="815"/>
    <w:link w:val="814"/>
    <w:uiPriority w:val="9"/>
    <w:rPr>
      <w:rFonts w:ascii="Arial" w:hAnsi="Arial" w:eastAsia="Arial" w:cs="Arial"/>
      <w:i/>
      <w:iCs/>
      <w:sz w:val="21"/>
      <w:szCs w:val="21"/>
    </w:rPr>
  </w:style>
  <w:style w:type="paragraph" w:styleId="844">
    <w:name w:val="Title"/>
    <w:basedOn w:val="805"/>
    <w:next w:val="805"/>
    <w:link w:val="84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5" w:customStyle="1">
    <w:name w:val="Заголовок Знак"/>
    <w:basedOn w:val="815"/>
    <w:link w:val="844"/>
    <w:uiPriority w:val="10"/>
    <w:rPr>
      <w:sz w:val="48"/>
      <w:szCs w:val="48"/>
    </w:rPr>
  </w:style>
  <w:style w:type="paragraph" w:styleId="846">
    <w:name w:val="Subtitle"/>
    <w:basedOn w:val="805"/>
    <w:next w:val="805"/>
    <w:link w:val="847"/>
    <w:uiPriority w:val="11"/>
    <w:qFormat/>
    <w:pPr>
      <w:spacing w:before="200" w:after="200"/>
    </w:pPr>
    <w:rPr>
      <w:sz w:val="24"/>
      <w:szCs w:val="24"/>
    </w:rPr>
  </w:style>
  <w:style w:type="character" w:styleId="847" w:customStyle="1">
    <w:name w:val="Подзаголовок Знак"/>
    <w:basedOn w:val="815"/>
    <w:link w:val="846"/>
    <w:uiPriority w:val="11"/>
    <w:rPr>
      <w:sz w:val="24"/>
      <w:szCs w:val="24"/>
    </w:rPr>
  </w:style>
  <w:style w:type="paragraph" w:styleId="848">
    <w:name w:val="Quote"/>
    <w:basedOn w:val="805"/>
    <w:next w:val="805"/>
    <w:link w:val="849"/>
    <w:uiPriority w:val="29"/>
    <w:qFormat/>
    <w:pPr>
      <w:ind w:left="720" w:right="720"/>
    </w:pPr>
    <w:rPr>
      <w:i/>
    </w:rPr>
  </w:style>
  <w:style w:type="character" w:styleId="849" w:customStyle="1">
    <w:name w:val="Цитата 2 Знак"/>
    <w:link w:val="848"/>
    <w:uiPriority w:val="29"/>
    <w:rPr>
      <w:i/>
    </w:rPr>
  </w:style>
  <w:style w:type="paragraph" w:styleId="850">
    <w:name w:val="Intense Quote"/>
    <w:basedOn w:val="805"/>
    <w:next w:val="805"/>
    <w:link w:val="85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1" w:customStyle="1">
    <w:name w:val="Выделенная цитата Знак"/>
    <w:link w:val="850"/>
    <w:uiPriority w:val="30"/>
    <w:rPr>
      <w:i/>
    </w:rPr>
  </w:style>
  <w:style w:type="paragraph" w:styleId="852">
    <w:name w:val="Header"/>
    <w:basedOn w:val="805"/>
    <w:link w:val="853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853" w:customStyle="1">
    <w:name w:val="Верхний колонтитул Знак"/>
    <w:basedOn w:val="815"/>
    <w:link w:val="852"/>
    <w:uiPriority w:val="99"/>
  </w:style>
  <w:style w:type="paragraph" w:styleId="854">
    <w:name w:val="Footer"/>
    <w:basedOn w:val="805"/>
    <w:link w:val="857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855" w:customStyle="1">
    <w:name w:val="Footer Char"/>
    <w:basedOn w:val="815"/>
    <w:uiPriority w:val="99"/>
  </w:style>
  <w:style w:type="paragraph" w:styleId="856">
    <w:name w:val="Caption"/>
    <w:basedOn w:val="805"/>
    <w:next w:val="805"/>
    <w:link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7" w:customStyle="1">
    <w:name w:val="Нижний колонтитул Знак"/>
    <w:link w:val="854"/>
    <w:uiPriority w:val="99"/>
  </w:style>
  <w:style w:type="table" w:styleId="858">
    <w:name w:val="Table Grid"/>
    <w:basedOn w:val="81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59" w:customStyle="1">
    <w:name w:val="Table Grid Light"/>
    <w:basedOn w:val="81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0">
    <w:name w:val="Plain Table 1"/>
    <w:basedOn w:val="81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2"/>
    <w:basedOn w:val="81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3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3">
    <w:name w:val="Plain Table 4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Plain Table 5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5">
    <w:name w:val="Grid Table 1 Light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Grid Table 1 Light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Grid Table 1 Light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Grid Table 1 Light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2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2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2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3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3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3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4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7" w:customStyle="1">
    <w:name w:val="Grid Table 4 - Accent 1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88" w:customStyle="1">
    <w:name w:val="Grid Table 4 - Accent 2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89" w:customStyle="1">
    <w:name w:val="Grid Table 4 - Accent 3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0" w:customStyle="1">
    <w:name w:val="Grid Table 4 - Accent 4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1" w:customStyle="1">
    <w:name w:val="Grid Table 4 - Accent 5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2" w:customStyle="1">
    <w:name w:val="Grid Table 4 - Accent 6"/>
    <w:basedOn w:val="8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3">
    <w:name w:val="Grid Table 5 Dark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4" w:customStyle="1">
    <w:name w:val="Grid Table 5 Dark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95" w:customStyle="1">
    <w:name w:val="Grid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96" w:customStyle="1">
    <w:name w:val="Grid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0">
    <w:name w:val="Grid Table 6 Colorful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1" w:customStyle="1">
    <w:name w:val="Grid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2" w:customStyle="1">
    <w:name w:val="Grid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3" w:customStyle="1">
    <w:name w:val="Grid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4" w:customStyle="1">
    <w:name w:val="Grid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5" w:customStyle="1">
    <w:name w:val="Grid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6" w:customStyle="1">
    <w:name w:val="Grid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7">
    <w:name w:val="Grid Table 7 Colorful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Grid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1 Light - Accent 1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1 Light - Accent 2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1 Light - Accent 3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4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5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6"/>
    <w:basedOn w:val="8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2" w:customStyle="1">
    <w:name w:val="List Table 2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3" w:customStyle="1">
    <w:name w:val="List Table 2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24" w:customStyle="1">
    <w:name w:val="List Table 2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25" w:customStyle="1">
    <w:name w:val="List Table 2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28">
    <w:name w:val="List Table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3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3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3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4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4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4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5 Dark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3" w:customStyle="1">
    <w:name w:val="List Table 5 Dark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4" w:customStyle="1">
    <w:name w:val="List Table 5 Dark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5" w:customStyle="1">
    <w:name w:val="List Table 5 Dark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6" w:customStyle="1">
    <w:name w:val="List Table 5 Dark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>
    <w:name w:val="List Table 6 Colorful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0" w:customStyle="1">
    <w:name w:val="List Table 6 Colorful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1" w:customStyle="1">
    <w:name w:val="List Table 6 Colorful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2" w:customStyle="1">
    <w:name w:val="List Table 6 Colorful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3" w:customStyle="1">
    <w:name w:val="List Table 6 Colorful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54" w:customStyle="1">
    <w:name w:val="List Table 6 Colorful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55" w:customStyle="1">
    <w:name w:val="List Table 6 Colorful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56">
    <w:name w:val="List Table 7 Colorful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List Table 7 Colorful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List Table 7 Colorful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List Table 7 Colorful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7 Colorful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ned - Accent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4" w:customStyle="1">
    <w:name w:val="Lined - Accent 1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5" w:customStyle="1">
    <w:name w:val="Lined - Accent 2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6" w:customStyle="1">
    <w:name w:val="Lined - Accent 3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7" w:customStyle="1">
    <w:name w:val="Lined - Accent 4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8" w:customStyle="1">
    <w:name w:val="Lined - Accent 5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9" w:customStyle="1">
    <w:name w:val="Lined - Accent 6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0" w:customStyle="1">
    <w:name w:val="Bordered &amp; Lined - Accent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1" w:customStyle="1">
    <w:name w:val="Bordered &amp; Lined - Accent 1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2" w:customStyle="1">
    <w:name w:val="Bordered &amp; Lined - Accent 2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3" w:customStyle="1">
    <w:name w:val="Bordered &amp; Lined - Accent 3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4" w:customStyle="1">
    <w:name w:val="Bordered &amp; Lined - Accent 4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5" w:customStyle="1">
    <w:name w:val="Bordered &amp; Lined - Accent 5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6" w:customStyle="1">
    <w:name w:val="Bordered &amp; Lined - Accent 6"/>
    <w:basedOn w:val="8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7" w:customStyle="1">
    <w:name w:val="Bordered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8" w:customStyle="1">
    <w:name w:val="Bordered - Accent 1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79" w:customStyle="1">
    <w:name w:val="Bordered - Accent 2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0" w:customStyle="1">
    <w:name w:val="Bordered - Accent 3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1" w:customStyle="1">
    <w:name w:val="Bordered - Accent 4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2" w:customStyle="1">
    <w:name w:val="Bordered - Accent 5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3" w:customStyle="1">
    <w:name w:val="Bordered - Accent 6"/>
    <w:basedOn w:val="8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84">
    <w:name w:val="Hyperlink"/>
    <w:uiPriority w:val="99"/>
    <w:unhideWhenUsed/>
    <w:rPr>
      <w:color w:val="0000ff" w:themeColor="hyperlink"/>
      <w:u w:val="single"/>
    </w:rPr>
  </w:style>
  <w:style w:type="paragraph" w:styleId="985">
    <w:name w:val="footnote text"/>
    <w:basedOn w:val="805"/>
    <w:link w:val="986"/>
    <w:uiPriority w:val="99"/>
    <w:semiHidden/>
    <w:unhideWhenUsed/>
    <w:pPr>
      <w:spacing w:after="40" w:line="240" w:lineRule="auto"/>
    </w:pPr>
    <w:rPr>
      <w:sz w:val="18"/>
    </w:rPr>
  </w:style>
  <w:style w:type="character" w:styleId="986" w:customStyle="1">
    <w:name w:val="Текст сноски Знак"/>
    <w:link w:val="985"/>
    <w:uiPriority w:val="99"/>
    <w:rPr>
      <w:sz w:val="18"/>
    </w:rPr>
  </w:style>
  <w:style w:type="character" w:styleId="987">
    <w:name w:val="footnote reference"/>
    <w:basedOn w:val="815"/>
    <w:uiPriority w:val="99"/>
    <w:unhideWhenUsed/>
    <w:rPr>
      <w:vertAlign w:val="superscript"/>
    </w:rPr>
  </w:style>
  <w:style w:type="paragraph" w:styleId="988">
    <w:name w:val="endnote text"/>
    <w:basedOn w:val="805"/>
    <w:link w:val="989"/>
    <w:uiPriority w:val="99"/>
    <w:semiHidden/>
    <w:unhideWhenUsed/>
    <w:pPr>
      <w:spacing w:line="240" w:lineRule="auto"/>
    </w:pPr>
    <w:rPr>
      <w:sz w:val="20"/>
    </w:rPr>
  </w:style>
  <w:style w:type="character" w:styleId="989" w:customStyle="1">
    <w:name w:val="Текст концевой сноски Знак"/>
    <w:link w:val="988"/>
    <w:uiPriority w:val="99"/>
    <w:rPr>
      <w:sz w:val="20"/>
    </w:rPr>
  </w:style>
  <w:style w:type="character" w:styleId="990">
    <w:name w:val="endnote reference"/>
    <w:basedOn w:val="815"/>
    <w:uiPriority w:val="99"/>
    <w:semiHidden/>
    <w:unhideWhenUsed/>
    <w:rPr>
      <w:vertAlign w:val="superscript"/>
    </w:rPr>
  </w:style>
  <w:style w:type="paragraph" w:styleId="991">
    <w:name w:val="toc 1"/>
    <w:basedOn w:val="805"/>
    <w:next w:val="805"/>
    <w:uiPriority w:val="39"/>
    <w:unhideWhenUsed/>
    <w:pPr>
      <w:ind w:firstLine="0"/>
      <w:spacing w:after="57"/>
    </w:pPr>
  </w:style>
  <w:style w:type="paragraph" w:styleId="992">
    <w:name w:val="toc 2"/>
    <w:basedOn w:val="805"/>
    <w:next w:val="805"/>
    <w:uiPriority w:val="39"/>
    <w:unhideWhenUsed/>
    <w:pPr>
      <w:ind w:left="283" w:firstLine="0"/>
      <w:spacing w:after="57"/>
    </w:pPr>
  </w:style>
  <w:style w:type="paragraph" w:styleId="993">
    <w:name w:val="toc 3"/>
    <w:basedOn w:val="805"/>
    <w:next w:val="805"/>
    <w:uiPriority w:val="39"/>
    <w:unhideWhenUsed/>
    <w:pPr>
      <w:ind w:left="567" w:firstLine="0"/>
      <w:spacing w:after="57"/>
    </w:pPr>
  </w:style>
  <w:style w:type="paragraph" w:styleId="994">
    <w:name w:val="toc 4"/>
    <w:basedOn w:val="805"/>
    <w:next w:val="805"/>
    <w:uiPriority w:val="39"/>
    <w:unhideWhenUsed/>
    <w:pPr>
      <w:ind w:left="850" w:firstLine="0"/>
      <w:spacing w:after="57"/>
    </w:pPr>
  </w:style>
  <w:style w:type="paragraph" w:styleId="995">
    <w:name w:val="toc 5"/>
    <w:basedOn w:val="805"/>
    <w:next w:val="805"/>
    <w:uiPriority w:val="39"/>
    <w:unhideWhenUsed/>
    <w:pPr>
      <w:ind w:left="1134" w:firstLine="0"/>
      <w:spacing w:after="57"/>
    </w:pPr>
  </w:style>
  <w:style w:type="paragraph" w:styleId="996">
    <w:name w:val="toc 6"/>
    <w:basedOn w:val="805"/>
    <w:next w:val="805"/>
    <w:uiPriority w:val="39"/>
    <w:unhideWhenUsed/>
    <w:pPr>
      <w:ind w:left="1417" w:firstLine="0"/>
      <w:spacing w:after="57"/>
    </w:pPr>
  </w:style>
  <w:style w:type="paragraph" w:styleId="997">
    <w:name w:val="toc 7"/>
    <w:basedOn w:val="805"/>
    <w:next w:val="805"/>
    <w:uiPriority w:val="39"/>
    <w:unhideWhenUsed/>
    <w:pPr>
      <w:ind w:left="1701" w:firstLine="0"/>
      <w:spacing w:after="57"/>
    </w:pPr>
  </w:style>
  <w:style w:type="paragraph" w:styleId="998">
    <w:name w:val="toc 8"/>
    <w:basedOn w:val="805"/>
    <w:next w:val="805"/>
    <w:uiPriority w:val="39"/>
    <w:unhideWhenUsed/>
    <w:pPr>
      <w:ind w:left="1984" w:firstLine="0"/>
      <w:spacing w:after="57"/>
    </w:pPr>
  </w:style>
  <w:style w:type="paragraph" w:styleId="999">
    <w:name w:val="toc 9"/>
    <w:basedOn w:val="805"/>
    <w:next w:val="805"/>
    <w:uiPriority w:val="39"/>
    <w:unhideWhenUsed/>
    <w:pPr>
      <w:ind w:left="2268" w:firstLine="0"/>
      <w:spacing w:after="57"/>
    </w:pPr>
  </w:style>
  <w:style w:type="paragraph" w:styleId="1000">
    <w:name w:val="TOC Heading"/>
    <w:uiPriority w:val="39"/>
    <w:unhideWhenUsed/>
  </w:style>
  <w:style w:type="paragraph" w:styleId="1001">
    <w:name w:val="table of figures"/>
    <w:basedOn w:val="805"/>
    <w:next w:val="805"/>
    <w:uiPriority w:val="99"/>
    <w:unhideWhenUsed/>
  </w:style>
  <w:style w:type="paragraph" w:styleId="1002">
    <w:name w:val="List Paragraph"/>
    <w:basedOn w:val="805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03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4">
    <w:name w:val="Plain Text"/>
    <w:basedOn w:val="805"/>
    <w:link w:val="1005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05" w:customStyle="1">
    <w:name w:val="Текст Знак"/>
    <w:basedOn w:val="815"/>
    <w:link w:val="1004"/>
    <w:uiPriority w:val="99"/>
    <w:semiHidden/>
    <w:rPr>
      <w:rFonts w:ascii="Calibri" w:hAnsi="Calibri"/>
      <w:szCs w:val="21"/>
    </w:rPr>
  </w:style>
  <w:style w:type="paragraph" w:styleId="1006">
    <w:name w:val="Balloon Text"/>
    <w:basedOn w:val="805"/>
    <w:link w:val="1007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1007" w:customStyle="1">
    <w:name w:val="Текст выноски Знак"/>
    <w:basedOn w:val="815"/>
    <w:link w:val="1006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</dc:creator>
  <cp:lastModifiedBy>kuzmischeva_iv</cp:lastModifiedBy>
  <cp:revision>41</cp:revision>
  <dcterms:created xsi:type="dcterms:W3CDTF">2018-12-12T06:03:00Z</dcterms:created>
  <dcterms:modified xsi:type="dcterms:W3CDTF">2026-02-11T06:54:18Z</dcterms:modified>
</cp:coreProperties>
</file>